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на Усьвинские столбы + Каменный город за 1 день (автобусный тур)</w:t>
      </w:r>
    </w:p>
    <w:p>
      <w:pPr>
        <w:pStyle w:val="Heading1"/>
      </w:pPr>
      <w:r>
        <w:t>Информация тура</w:t>
      </w:r>
    </w:p>
    <w:p>
      <w:r>
        <w:t>Пермь - Усьвинские столбы - Каменный город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Экосбор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8.00 – Выезд из г. Перми, ул. Ленина, 53 (Театр-Театр). Путевая экскурсия. Остановка на обед</w:t>
      </w:r>
      <w:r>
        <w:rPr>
          <w:b/>
        </w:rPr>
        <w:t>(за доп. плату)</w:t>
      </w:r>
      <w:r>
        <w:t>. По пути остановка на смотровой площадке Белые камни, откуда в хорошую погоду можно увидеть хребет Басеги.</w:t>
      </w:r>
      <w:r>
        <w:br/>
      </w:r>
      <w:r>
        <w:t>12.00 –</w:t>
      </w:r>
      <w:r>
        <w:rPr>
          <w:b/>
        </w:rPr>
        <w:t>Экскурсия на Усьвинские столбы с осмотром Чертова пальца и посещением грота Столбовой с заброской на лодках к месту подъема (за доп плату)</w:t>
      </w:r>
      <w:r>
        <w:br/>
      </w:r>
      <w:r>
        <w:t>Река Усьва, обрамленная густыми лесами, скальные утесы, уходящие в небо, и знаменитый Чертов палец – загадочный природный монолит, овеянный легендами. Посещение грота Столбовой добавит путешествию таинственности и позволит почувствовать себя настоящим исследователем. На маршруте вас будут окружать уникальные природные ландшафты, вдохновляющие своей первозданной красотой. Это место словно создано для тех, кто ценит активный отдых и гармонию с природой.</w:t>
      </w:r>
      <w:r>
        <w:br/>
      </w:r>
      <w:r>
        <w:rPr>
          <w:b/>
        </w:rPr>
        <w:t>Подъем на Усьвинские столбы и спуск проходит по необорудованной крутой тропе.</w:t>
      </w:r>
      <w:r>
        <w:br/>
      </w:r>
      <w:r>
        <w:t>15.00 - 15.30 - Переезд до Каменного города.</w:t>
      </w:r>
      <w:r>
        <w:br/>
      </w:r>
      <w:r>
        <w:t>15.30 - 17.30 -</w:t>
      </w:r>
      <w:r>
        <w:rPr>
          <w:b/>
        </w:rPr>
        <w:t>Пеший поход на скальные останцы Каменного города.</w:t>
      </w:r>
      <w:r>
        <w:rPr>
          <w:b/>
        </w:rPr>
        <w:t>Общий треккинг по оборудованной тропе автобус-Каменный город-автобус 3 км (около 1 часа) + осмотр скальных останцев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 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18.00 - Отправление в г. Пермь, по пути остановка на ужин</w:t>
      </w:r>
      <w:r>
        <w:rPr>
          <w:b/>
        </w:rPr>
        <w:t>(за доп. плату)</w:t>
      </w:r>
      <w:r>
        <w:t>.</w:t>
      </w:r>
      <w:r>
        <w:br/>
      </w:r>
      <w:r>
        <w:t>19:00 - Прибытие группы в г. Пермь.</w:t>
      </w:r>
    </w:p>
    <w:p>
      <w:r>
        <w:rPr>
          <w:b/>
        </w:rPr>
        <w:t>Рекомендуем взять с собой перекус для обеда на природе, так как по маршруту движения остановку в кафе организовать нет возможности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5 246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4 786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4 404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4 080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3 803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2 853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3 744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3 421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2 643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2 491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2 419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2 352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2 229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2 119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2 020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1 936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1 894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1 855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1 817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1 781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1 747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1 714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1 682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1 652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1 622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